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82" w:rsidRPr="009D3282" w:rsidRDefault="009D3282" w:rsidP="009D3282">
      <w:pPr>
        <w:spacing w:before="120" w:after="40" w:line="240" w:lineRule="auto"/>
        <w:ind w:left="115" w:right="130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</w:rPr>
      </w:pPr>
      <w:r w:rsidRPr="009D3282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</w:rPr>
        <w:t>Termination Checklist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was there a specific incident close in time to the discharge?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can the employer show that the employee violated a known policy or law?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are </w:t>
      </w:r>
      <w:hyperlink r:id="rId5" w:anchor="evidence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witnesses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 available?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does the employer have </w:t>
      </w:r>
      <w:hyperlink r:id="rId6" w:anchor="evidence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documentation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 to support its reasons for termination?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did the employee progress all the way through the </w:t>
      </w:r>
      <w:hyperlink r:id="rId7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disciplinary system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was the employee confronted with the problem and given a chance to explain?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discrimination issues: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does the employee belong to a protected minority?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was the treatment given to the employee different from that given to non-minorities?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was the treatment given to the employee different from that given to other workers in general?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was the employee involved in a protected activity?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involvement in a claim over wages, </w:t>
      </w:r>
      <w:hyperlink r:id="rId8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workers' compensation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, or discrimination?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hyperlink r:id="rId9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jury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 or </w:t>
      </w:r>
      <w:hyperlink r:id="rId10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military duty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hyperlink r:id="rId11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voting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? (For a listing of state laws regarding paid or unpaid time off for voting, see the NFIB Web site at </w:t>
      </w:r>
      <w:hyperlink r:id="rId12" w:history="1">
        <w:r w:rsidRPr="009D328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http://www.nfib.com/tabid/56/Default.aspx?cmsid=31407&amp;v=1</w:t>
        </w:r>
      </w:hyperlink>
      <w:r w:rsidRPr="009D3282">
        <w:rPr>
          <w:rFonts w:ascii="Arial" w:eastAsia="Times New Roman" w:hAnsi="Arial" w:cs="Arial"/>
          <w:color w:val="000000"/>
          <w:sz w:val="20"/>
          <w:szCs w:val="20"/>
        </w:rPr>
        <w:t>.)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refusal to commit an illegal act?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inquiring about the legality of an instruction from the employer?</w:t>
      </w:r>
    </w:p>
    <w:p w:rsidR="009D3282" w:rsidRPr="009D3282" w:rsidRDefault="009D3282" w:rsidP="009D3282">
      <w:pPr>
        <w:numPr>
          <w:ilvl w:val="1"/>
          <w:numId w:val="1"/>
        </w:numPr>
        <w:spacing w:before="80" w:after="15" w:line="240" w:lineRule="auto"/>
        <w:ind w:left="155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"whistleblowing"?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In the case of a simple layoff, is the company using neutral, business-related criteria, not related to any minority characteristics, to evaluate the affected department and select those who will be laid off?</w:t>
      </w:r>
    </w:p>
    <w:p w:rsidR="009D3282" w:rsidRPr="009D3282" w:rsidRDefault="009D3282" w:rsidP="009D3282">
      <w:pPr>
        <w:numPr>
          <w:ilvl w:val="0"/>
          <w:numId w:val="1"/>
        </w:numPr>
        <w:spacing w:before="80" w:after="15" w:line="240" w:lineRule="auto"/>
        <w:ind w:left="83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9D3282">
        <w:rPr>
          <w:rFonts w:ascii="Arial" w:eastAsia="Times New Roman" w:hAnsi="Arial" w:cs="Arial"/>
          <w:color w:val="000000"/>
          <w:sz w:val="20"/>
          <w:szCs w:val="20"/>
        </w:rPr>
        <w:t>Depending upon the answers to these questions, the employer may need to seek legal advice prior to taking any adverse job action against the affected employee.</w:t>
      </w:r>
    </w:p>
    <w:p w:rsidR="000A4CF5" w:rsidRDefault="000A4CF5">
      <w:bookmarkStart w:id="0" w:name="_GoBack"/>
      <w:bookmarkEnd w:id="0"/>
    </w:p>
    <w:sectPr w:rsidR="000A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244E7"/>
    <w:multiLevelType w:val="multilevel"/>
    <w:tmpl w:val="1398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82"/>
    <w:rsid w:val="000A4CF5"/>
    <w:rsid w:val="009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863A-58BA-4466-843C-15F63A2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c.state.tx.us/news/efte/workers_compens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c.state.tx.us/news/efte/discipline.html" TargetMode="External"/><Relationship Id="rId12" Type="http://schemas.openxmlformats.org/officeDocument/2006/relationships/hyperlink" Target="http://www.nfib.com/tabid/56/Default.aspx?cmsid=31407&amp;v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c.state.tx.us/news/efte/ui_law_the_claim_and_appeal_process.html" TargetMode="External"/><Relationship Id="rId11" Type="http://schemas.openxmlformats.org/officeDocument/2006/relationships/hyperlink" Target="http://www.twc.state.tx.us/news/efte/voting_time_off.html" TargetMode="External"/><Relationship Id="rId5" Type="http://schemas.openxmlformats.org/officeDocument/2006/relationships/hyperlink" Target="http://www.twc.state.tx.us/news/efte/ui_law_the_claim_and_appeal_process.html" TargetMode="External"/><Relationship Id="rId10" Type="http://schemas.openxmlformats.org/officeDocument/2006/relationships/hyperlink" Target="http://www.twc.state.tx.us/news/efte/legal_issues_for_military_lea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c.state.tx.us/news/efte/jury_du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Huffman</dc:creator>
  <cp:keywords/>
  <dc:description/>
  <cp:lastModifiedBy>Joy Huffman</cp:lastModifiedBy>
  <cp:revision>1</cp:revision>
  <dcterms:created xsi:type="dcterms:W3CDTF">2016-12-05T21:35:00Z</dcterms:created>
  <dcterms:modified xsi:type="dcterms:W3CDTF">2016-12-05T21:35:00Z</dcterms:modified>
</cp:coreProperties>
</file>